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F7" w:rsidRDefault="006117F7" w:rsidP="006117F7">
      <w:r>
        <w:t>UNIFI is a service based application that uses Microsoft’s Windows Communication Foundation (WCF) framework. This allows clients and services to communicate via TCP/IP and HTTP either over a network or locally on the same machine.</w:t>
      </w:r>
    </w:p>
    <w:p w:rsidR="006117F7" w:rsidRDefault="006117F7" w:rsidP="006117F7">
      <w:r>
        <w:t>UNIFI Services are hosted within a ‘Waters.ServiceHost.exe’ process on the Application Server and LND tiers. There are a number of ‘Waters.ServiceHost.exe’ processes running. One of these processes acts as the ‘main’ Service Host while the others are child processes of the main process. The main Service Host is executed as a Windows Service.</w:t>
      </w:r>
    </w:p>
    <w:p w:rsidR="006117F7" w:rsidRDefault="006117F7" w:rsidP="006117F7">
      <w:r>
        <w:t xml:space="preserve">Each of the Waters.ServiceHost.exe processes contains a group of UNIFI Services. UNIFI Services that are hosted within the same process as configured to be part of the same ‘Process Pool’. UNIFI Services are configured so that heavy-weight services (such as Processing and Reporting) that can </w:t>
      </w:r>
      <w:bookmarkStart w:id="0" w:name="_GoBack"/>
      <w:bookmarkEnd w:id="0"/>
      <w:r>
        <w:t xml:space="preserve">consume high levels of system resources are isolated within their process. </w:t>
      </w:r>
    </w:p>
    <w:p w:rsidR="006117F7" w:rsidRDefault="006117F7" w:rsidP="006117F7">
      <w:r>
        <w:t>The table below shows the Windows services running on a UNIFI App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962"/>
      </w:tblGrid>
      <w:tr w:rsidR="006117F7" w:rsidRPr="00E461B5" w:rsidTr="007F223B">
        <w:tc>
          <w:tcPr>
            <w:tcW w:w="3085" w:type="dxa"/>
            <w:shd w:val="clear" w:color="auto" w:fill="EEECE1"/>
          </w:tcPr>
          <w:p w:rsidR="006117F7" w:rsidRPr="00E461B5" w:rsidRDefault="006117F7" w:rsidP="007F223B">
            <w:pPr>
              <w:rPr>
                <w:b/>
                <w:sz w:val="16"/>
              </w:rPr>
            </w:pPr>
            <w:r>
              <w:rPr>
                <w:b/>
                <w:sz w:val="16"/>
              </w:rPr>
              <w:t>Service Name</w:t>
            </w:r>
          </w:p>
        </w:tc>
        <w:tc>
          <w:tcPr>
            <w:tcW w:w="6157" w:type="dxa"/>
            <w:shd w:val="clear" w:color="auto" w:fill="EEECE1"/>
          </w:tcPr>
          <w:p w:rsidR="006117F7" w:rsidRPr="00E461B5" w:rsidRDefault="006117F7" w:rsidP="007F223B">
            <w:pPr>
              <w:rPr>
                <w:b/>
                <w:sz w:val="16"/>
              </w:rPr>
            </w:pPr>
            <w:r>
              <w:rPr>
                <w:b/>
                <w:sz w:val="16"/>
              </w:rPr>
              <w:t>Description</w:t>
            </w:r>
          </w:p>
        </w:tc>
      </w:tr>
      <w:tr w:rsidR="006117F7" w:rsidRPr="00E461B5" w:rsidTr="000510A6">
        <w:trPr>
          <w:trHeight w:val="451"/>
        </w:trPr>
        <w:tc>
          <w:tcPr>
            <w:tcW w:w="3085" w:type="dxa"/>
          </w:tcPr>
          <w:p w:rsidR="006117F7" w:rsidRPr="000510A6" w:rsidRDefault="006117F7" w:rsidP="000510A6">
            <w:pPr>
              <w:pStyle w:val="NoSpacing"/>
              <w:rPr>
                <w:sz w:val="18"/>
                <w:szCs w:val="18"/>
              </w:rPr>
            </w:pPr>
            <w:r w:rsidRPr="000510A6">
              <w:rPr>
                <w:sz w:val="18"/>
                <w:szCs w:val="18"/>
              </w:rPr>
              <w:t>Waters Service Host</w:t>
            </w:r>
          </w:p>
        </w:tc>
        <w:tc>
          <w:tcPr>
            <w:tcW w:w="6157" w:type="dxa"/>
          </w:tcPr>
          <w:p w:rsidR="006117F7" w:rsidRPr="000510A6" w:rsidRDefault="006117F7" w:rsidP="000510A6">
            <w:pPr>
              <w:pStyle w:val="NoSpacing"/>
              <w:rPr>
                <w:sz w:val="18"/>
                <w:szCs w:val="18"/>
              </w:rPr>
            </w:pPr>
            <w:r w:rsidRPr="000510A6">
              <w:rPr>
                <w:sz w:val="18"/>
                <w:szCs w:val="18"/>
              </w:rPr>
              <w:t>The UNIFI Service Host Windows Service. This service controls the main Waters.ServiceHost.exe process.</w:t>
            </w:r>
          </w:p>
        </w:tc>
      </w:tr>
      <w:tr w:rsidR="006117F7" w:rsidRPr="00E461B5" w:rsidTr="007F223B">
        <w:tc>
          <w:tcPr>
            <w:tcW w:w="3085" w:type="dxa"/>
          </w:tcPr>
          <w:p w:rsidR="006117F7" w:rsidRPr="000510A6" w:rsidRDefault="006117F7" w:rsidP="000510A6">
            <w:pPr>
              <w:pStyle w:val="NoSpacing"/>
              <w:rPr>
                <w:sz w:val="18"/>
                <w:szCs w:val="18"/>
              </w:rPr>
            </w:pPr>
            <w:r w:rsidRPr="000510A6">
              <w:rPr>
                <w:sz w:val="18"/>
                <w:szCs w:val="18"/>
              </w:rPr>
              <w:t>Waters Database Manager Listener</w:t>
            </w:r>
          </w:p>
        </w:tc>
        <w:tc>
          <w:tcPr>
            <w:tcW w:w="6157" w:type="dxa"/>
          </w:tcPr>
          <w:p w:rsidR="006117F7" w:rsidRPr="000510A6" w:rsidRDefault="006117F7" w:rsidP="000510A6">
            <w:pPr>
              <w:pStyle w:val="NoSpacing"/>
              <w:rPr>
                <w:sz w:val="18"/>
                <w:szCs w:val="18"/>
              </w:rPr>
            </w:pPr>
          </w:p>
        </w:tc>
      </w:tr>
      <w:tr w:rsidR="006117F7" w:rsidRPr="00E461B5" w:rsidTr="007F223B">
        <w:tc>
          <w:tcPr>
            <w:tcW w:w="3085" w:type="dxa"/>
          </w:tcPr>
          <w:p w:rsidR="006117F7" w:rsidRPr="000510A6" w:rsidRDefault="006117F7" w:rsidP="000510A6">
            <w:pPr>
              <w:pStyle w:val="NoSpacing"/>
              <w:rPr>
                <w:sz w:val="18"/>
                <w:szCs w:val="18"/>
              </w:rPr>
            </w:pPr>
            <w:r w:rsidRPr="000510A6">
              <w:rPr>
                <w:sz w:val="18"/>
                <w:szCs w:val="18"/>
              </w:rPr>
              <w:t>Waters DHCP Server</w:t>
            </w:r>
          </w:p>
        </w:tc>
        <w:tc>
          <w:tcPr>
            <w:tcW w:w="6157" w:type="dxa"/>
          </w:tcPr>
          <w:p w:rsidR="006117F7" w:rsidRPr="000510A6" w:rsidRDefault="006117F7" w:rsidP="000510A6">
            <w:pPr>
              <w:pStyle w:val="NoSpacing"/>
              <w:rPr>
                <w:sz w:val="18"/>
                <w:szCs w:val="18"/>
              </w:rPr>
            </w:pPr>
            <w:r w:rsidRPr="000510A6">
              <w:rPr>
                <w:sz w:val="18"/>
                <w:szCs w:val="18"/>
              </w:rPr>
              <w:t>DHCP Server used for instruments.</w:t>
            </w:r>
          </w:p>
        </w:tc>
      </w:tr>
      <w:tr w:rsidR="006117F7" w:rsidRPr="00E461B5" w:rsidTr="007F223B">
        <w:tc>
          <w:tcPr>
            <w:tcW w:w="3085" w:type="dxa"/>
          </w:tcPr>
          <w:p w:rsidR="006117F7" w:rsidRPr="000510A6" w:rsidRDefault="006117F7" w:rsidP="000510A6">
            <w:pPr>
              <w:pStyle w:val="NoSpacing"/>
              <w:rPr>
                <w:sz w:val="18"/>
                <w:szCs w:val="18"/>
              </w:rPr>
            </w:pPr>
            <w:r w:rsidRPr="000510A6">
              <w:rPr>
                <w:sz w:val="18"/>
                <w:szCs w:val="18"/>
              </w:rPr>
              <w:t>Waters Metrics Publisher</w:t>
            </w:r>
          </w:p>
        </w:tc>
        <w:tc>
          <w:tcPr>
            <w:tcW w:w="6157" w:type="dxa"/>
          </w:tcPr>
          <w:p w:rsidR="006117F7" w:rsidRPr="000510A6" w:rsidRDefault="006117F7" w:rsidP="000510A6">
            <w:pPr>
              <w:pStyle w:val="NoSpacing"/>
              <w:rPr>
                <w:sz w:val="18"/>
                <w:szCs w:val="18"/>
              </w:rPr>
            </w:pPr>
            <w:r w:rsidRPr="000510A6">
              <w:rPr>
                <w:sz w:val="18"/>
                <w:szCs w:val="18"/>
              </w:rPr>
              <w:t>Publishes internal metrics</w:t>
            </w:r>
          </w:p>
        </w:tc>
      </w:tr>
      <w:tr w:rsidR="006117F7" w:rsidRPr="00E461B5" w:rsidTr="007F223B">
        <w:tc>
          <w:tcPr>
            <w:tcW w:w="3085" w:type="dxa"/>
          </w:tcPr>
          <w:p w:rsidR="006117F7" w:rsidRPr="000510A6" w:rsidRDefault="006117F7" w:rsidP="000510A6">
            <w:pPr>
              <w:pStyle w:val="NoSpacing"/>
              <w:rPr>
                <w:sz w:val="18"/>
                <w:szCs w:val="18"/>
              </w:rPr>
            </w:pPr>
            <w:proofErr w:type="spellStart"/>
            <w:r w:rsidRPr="000510A6">
              <w:rPr>
                <w:sz w:val="18"/>
                <w:szCs w:val="18"/>
              </w:rPr>
              <w:t>Waters.Acquisition.FileService</w:t>
            </w:r>
            <w:proofErr w:type="spellEnd"/>
          </w:p>
        </w:tc>
        <w:tc>
          <w:tcPr>
            <w:tcW w:w="6157" w:type="dxa"/>
          </w:tcPr>
          <w:p w:rsidR="006117F7" w:rsidRPr="000510A6" w:rsidRDefault="006117F7" w:rsidP="000510A6">
            <w:pPr>
              <w:pStyle w:val="NoSpacing"/>
              <w:rPr>
                <w:sz w:val="18"/>
                <w:szCs w:val="18"/>
              </w:rPr>
            </w:pPr>
          </w:p>
        </w:tc>
      </w:tr>
      <w:tr w:rsidR="006117F7" w:rsidRPr="00E461B5" w:rsidTr="007F223B">
        <w:tc>
          <w:tcPr>
            <w:tcW w:w="3085" w:type="dxa"/>
          </w:tcPr>
          <w:p w:rsidR="006117F7" w:rsidRPr="000510A6" w:rsidRDefault="006117F7" w:rsidP="000510A6">
            <w:pPr>
              <w:pStyle w:val="NoSpacing"/>
              <w:rPr>
                <w:sz w:val="18"/>
                <w:szCs w:val="18"/>
              </w:rPr>
            </w:pPr>
            <w:r w:rsidRPr="000510A6">
              <w:rPr>
                <w:sz w:val="18"/>
                <w:szCs w:val="18"/>
              </w:rPr>
              <w:t>OracleASM12cTNSListener</w:t>
            </w:r>
          </w:p>
        </w:tc>
        <w:tc>
          <w:tcPr>
            <w:tcW w:w="6157" w:type="dxa"/>
          </w:tcPr>
          <w:p w:rsidR="006117F7" w:rsidRPr="000510A6" w:rsidRDefault="006117F7" w:rsidP="000510A6">
            <w:pPr>
              <w:pStyle w:val="NoSpacing"/>
              <w:rPr>
                <w:sz w:val="18"/>
                <w:szCs w:val="18"/>
              </w:rPr>
            </w:pPr>
            <w:r w:rsidRPr="000510A6">
              <w:rPr>
                <w:sz w:val="18"/>
                <w:szCs w:val="18"/>
              </w:rPr>
              <w:t>Oracle TNS Listener service. Manages client connection requests to the database.</w:t>
            </w:r>
          </w:p>
        </w:tc>
      </w:tr>
      <w:tr w:rsidR="006117F7" w:rsidRPr="00E461B5" w:rsidTr="007F223B">
        <w:tc>
          <w:tcPr>
            <w:tcW w:w="3085" w:type="dxa"/>
          </w:tcPr>
          <w:p w:rsidR="006117F7" w:rsidRPr="000510A6" w:rsidRDefault="006117F7" w:rsidP="000510A6">
            <w:pPr>
              <w:pStyle w:val="NoSpacing"/>
              <w:rPr>
                <w:sz w:val="18"/>
                <w:szCs w:val="18"/>
              </w:rPr>
            </w:pPr>
            <w:proofErr w:type="spellStart"/>
            <w:r w:rsidRPr="000510A6">
              <w:rPr>
                <w:sz w:val="18"/>
                <w:szCs w:val="18"/>
              </w:rPr>
              <w:t>OracleASMService+ASM</w:t>
            </w:r>
            <w:proofErr w:type="spellEnd"/>
          </w:p>
        </w:tc>
        <w:tc>
          <w:tcPr>
            <w:tcW w:w="6157" w:type="dxa"/>
          </w:tcPr>
          <w:p w:rsidR="006117F7" w:rsidRPr="000510A6" w:rsidRDefault="006117F7" w:rsidP="000510A6">
            <w:pPr>
              <w:pStyle w:val="NoSpacing"/>
              <w:rPr>
                <w:sz w:val="18"/>
                <w:szCs w:val="18"/>
              </w:rPr>
            </w:pPr>
            <w:r w:rsidRPr="000510A6">
              <w:rPr>
                <w:sz w:val="18"/>
                <w:szCs w:val="18"/>
              </w:rPr>
              <w:t>Oracle Automatic Storage Management (ASM) service.</w:t>
            </w:r>
          </w:p>
        </w:tc>
      </w:tr>
      <w:tr w:rsidR="006117F7" w:rsidRPr="00E461B5" w:rsidTr="007F223B">
        <w:tc>
          <w:tcPr>
            <w:tcW w:w="3085" w:type="dxa"/>
          </w:tcPr>
          <w:p w:rsidR="006117F7" w:rsidRPr="000510A6" w:rsidRDefault="006117F7" w:rsidP="000510A6">
            <w:pPr>
              <w:pStyle w:val="NoSpacing"/>
              <w:rPr>
                <w:sz w:val="18"/>
                <w:szCs w:val="18"/>
              </w:rPr>
            </w:pPr>
            <w:proofErr w:type="spellStart"/>
            <w:r w:rsidRPr="000510A6">
              <w:rPr>
                <w:sz w:val="18"/>
                <w:szCs w:val="18"/>
              </w:rPr>
              <w:t>OracleJobSchedulerUNIFI</w:t>
            </w:r>
            <w:proofErr w:type="spellEnd"/>
          </w:p>
        </w:tc>
        <w:tc>
          <w:tcPr>
            <w:tcW w:w="6157" w:type="dxa"/>
          </w:tcPr>
          <w:p w:rsidR="006117F7" w:rsidRPr="000510A6" w:rsidRDefault="006117F7" w:rsidP="000510A6">
            <w:pPr>
              <w:pStyle w:val="NoSpacing"/>
              <w:rPr>
                <w:sz w:val="18"/>
                <w:szCs w:val="18"/>
              </w:rPr>
            </w:pPr>
          </w:p>
        </w:tc>
      </w:tr>
      <w:tr w:rsidR="006117F7" w:rsidRPr="00E461B5" w:rsidTr="007F223B">
        <w:tc>
          <w:tcPr>
            <w:tcW w:w="3085" w:type="dxa"/>
          </w:tcPr>
          <w:p w:rsidR="006117F7" w:rsidRPr="000510A6" w:rsidRDefault="006117F7" w:rsidP="000510A6">
            <w:pPr>
              <w:pStyle w:val="NoSpacing"/>
              <w:rPr>
                <w:sz w:val="18"/>
                <w:szCs w:val="18"/>
              </w:rPr>
            </w:pPr>
            <w:proofErr w:type="spellStart"/>
            <w:r w:rsidRPr="000510A6">
              <w:rPr>
                <w:sz w:val="18"/>
                <w:szCs w:val="18"/>
              </w:rPr>
              <w:t>OracleOHService</w:t>
            </w:r>
            <w:proofErr w:type="spellEnd"/>
          </w:p>
        </w:tc>
        <w:tc>
          <w:tcPr>
            <w:tcW w:w="6157" w:type="dxa"/>
          </w:tcPr>
          <w:p w:rsidR="006117F7" w:rsidRPr="000510A6" w:rsidRDefault="006117F7" w:rsidP="000510A6">
            <w:pPr>
              <w:pStyle w:val="NoSpacing"/>
              <w:rPr>
                <w:sz w:val="18"/>
                <w:szCs w:val="18"/>
              </w:rPr>
            </w:pPr>
          </w:p>
        </w:tc>
      </w:tr>
      <w:tr w:rsidR="006117F7" w:rsidRPr="00E461B5" w:rsidTr="007F223B">
        <w:tc>
          <w:tcPr>
            <w:tcW w:w="3085" w:type="dxa"/>
          </w:tcPr>
          <w:p w:rsidR="006117F7" w:rsidRPr="000510A6" w:rsidRDefault="006117F7" w:rsidP="000510A6">
            <w:pPr>
              <w:pStyle w:val="NoSpacing"/>
              <w:rPr>
                <w:sz w:val="18"/>
                <w:szCs w:val="18"/>
              </w:rPr>
            </w:pPr>
            <w:proofErr w:type="spellStart"/>
            <w:r w:rsidRPr="000510A6">
              <w:rPr>
                <w:sz w:val="18"/>
                <w:szCs w:val="18"/>
              </w:rPr>
              <w:t>OracleServiceUNIFI</w:t>
            </w:r>
            <w:proofErr w:type="spellEnd"/>
          </w:p>
        </w:tc>
        <w:tc>
          <w:tcPr>
            <w:tcW w:w="6157" w:type="dxa"/>
          </w:tcPr>
          <w:p w:rsidR="006117F7" w:rsidRPr="000510A6" w:rsidRDefault="006117F7" w:rsidP="000510A6">
            <w:pPr>
              <w:pStyle w:val="NoSpacing"/>
              <w:rPr>
                <w:sz w:val="18"/>
                <w:szCs w:val="18"/>
              </w:rPr>
            </w:pPr>
            <w:r w:rsidRPr="000510A6">
              <w:rPr>
                <w:sz w:val="18"/>
                <w:szCs w:val="18"/>
              </w:rPr>
              <w:t xml:space="preserve">The Oracle instance </w:t>
            </w:r>
          </w:p>
        </w:tc>
      </w:tr>
    </w:tbl>
    <w:p w:rsidR="006117F7" w:rsidRDefault="006117F7" w:rsidP="006117F7"/>
    <w:p w:rsidR="006117F7" w:rsidRDefault="006117F7" w:rsidP="006117F7">
      <w:r>
        <w:t>The table below shows the typical processes that will be running.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049"/>
      </w:tblGrid>
      <w:tr w:rsidR="006117F7" w:rsidRPr="00E461B5" w:rsidTr="000510A6">
        <w:tc>
          <w:tcPr>
            <w:tcW w:w="4967" w:type="dxa"/>
            <w:shd w:val="clear" w:color="auto" w:fill="EEECE1"/>
          </w:tcPr>
          <w:p w:rsidR="006117F7" w:rsidRPr="00E461B5" w:rsidRDefault="006117F7" w:rsidP="007F223B">
            <w:pPr>
              <w:rPr>
                <w:b/>
                <w:sz w:val="16"/>
              </w:rPr>
            </w:pPr>
            <w:r w:rsidRPr="00E461B5">
              <w:rPr>
                <w:b/>
                <w:sz w:val="16"/>
              </w:rPr>
              <w:t>Process Command Line</w:t>
            </w:r>
          </w:p>
          <w:p w:rsidR="006117F7" w:rsidRPr="00E461B5" w:rsidRDefault="006117F7" w:rsidP="007F223B">
            <w:pPr>
              <w:rPr>
                <w:b/>
                <w:sz w:val="16"/>
              </w:rPr>
            </w:pPr>
            <w:r w:rsidRPr="00E461B5">
              <w:rPr>
                <w:b/>
                <w:sz w:val="16"/>
              </w:rPr>
              <w:t>(</w:t>
            </w:r>
            <w:proofErr w:type="gramStart"/>
            <w:r w:rsidRPr="00E461B5">
              <w:rPr>
                <w:b/>
                <w:sz w:val="16"/>
              </w:rPr>
              <w:t>all</w:t>
            </w:r>
            <w:proofErr w:type="gramEnd"/>
            <w:r w:rsidRPr="00E461B5">
              <w:rPr>
                <w:b/>
                <w:sz w:val="16"/>
              </w:rPr>
              <w:t xml:space="preserve"> in C:\Program Files\Waters\UNIFI\Server\Bin\..)</w:t>
            </w:r>
          </w:p>
        </w:tc>
        <w:tc>
          <w:tcPr>
            <w:tcW w:w="4049" w:type="dxa"/>
            <w:shd w:val="clear" w:color="auto" w:fill="EEECE1"/>
          </w:tcPr>
          <w:p w:rsidR="006117F7" w:rsidRPr="00E461B5" w:rsidRDefault="006117F7" w:rsidP="007F223B">
            <w:pPr>
              <w:rPr>
                <w:b/>
                <w:sz w:val="16"/>
              </w:rPr>
            </w:pPr>
            <w:r w:rsidRPr="00E461B5">
              <w:rPr>
                <w:b/>
                <w:sz w:val="16"/>
              </w:rPr>
              <w:t>Description</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w:t>
            </w:r>
          </w:p>
        </w:tc>
        <w:tc>
          <w:tcPr>
            <w:tcW w:w="4049" w:type="dxa"/>
          </w:tcPr>
          <w:p w:rsidR="006117F7" w:rsidRPr="000510A6" w:rsidRDefault="006117F7" w:rsidP="000510A6">
            <w:pPr>
              <w:pStyle w:val="NoSpacing"/>
              <w:rPr>
                <w:sz w:val="18"/>
                <w:szCs w:val="18"/>
              </w:rPr>
            </w:pPr>
            <w:r w:rsidRPr="000510A6">
              <w:rPr>
                <w:sz w:val="18"/>
                <w:szCs w:val="18"/>
              </w:rPr>
              <w:t>Main service host process.</w:t>
            </w:r>
          </w:p>
          <w:p w:rsidR="006117F7" w:rsidRPr="000510A6" w:rsidRDefault="006117F7" w:rsidP="000510A6">
            <w:pPr>
              <w:pStyle w:val="NoSpacing"/>
              <w:rPr>
                <w:sz w:val="18"/>
                <w:szCs w:val="18"/>
              </w:rPr>
            </w:pPr>
            <w:r w:rsidRPr="000510A6">
              <w:rPr>
                <w:sz w:val="18"/>
                <w:szCs w:val="18"/>
              </w:rPr>
              <w:t>Host all lightweight services</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procPoolName:AFW</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Analysis Center WCF services</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procPoolName:AWB</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Analytical Workbench WCF services</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procPoolName:Processing</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Processing WCF service</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procPoolName:Reporting</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Reporting WCF service</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procPoolName:Workflow</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Windows Workflow Windows service</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.\Waters.ServiceHost.exe" /</w:t>
            </w:r>
            <w:proofErr w:type="spellStart"/>
            <w:r w:rsidRPr="000510A6">
              <w:rPr>
                <w:sz w:val="18"/>
                <w:szCs w:val="18"/>
              </w:rPr>
              <w:t>procPoolName:JobScheduler</w:t>
            </w:r>
            <w:proofErr w:type="spellEnd"/>
            <w:r w:rsidRPr="000510A6">
              <w:rPr>
                <w:sz w:val="18"/>
                <w:szCs w:val="18"/>
              </w:rPr>
              <w:t xml:space="preserve"> /mainProcID:924</w:t>
            </w:r>
          </w:p>
        </w:tc>
        <w:tc>
          <w:tcPr>
            <w:tcW w:w="4049" w:type="dxa"/>
          </w:tcPr>
          <w:p w:rsidR="006117F7" w:rsidRPr="000510A6" w:rsidRDefault="006117F7" w:rsidP="000510A6">
            <w:pPr>
              <w:pStyle w:val="NoSpacing"/>
              <w:rPr>
                <w:sz w:val="18"/>
                <w:szCs w:val="18"/>
              </w:rPr>
            </w:pPr>
            <w:r w:rsidRPr="000510A6">
              <w:rPr>
                <w:sz w:val="18"/>
                <w:szCs w:val="18"/>
              </w:rPr>
              <w:t>Hosts Job Scheduler WCF service</w:t>
            </w:r>
          </w:p>
        </w:tc>
      </w:tr>
      <w:tr w:rsidR="006117F7" w:rsidRPr="00E461B5" w:rsidTr="000510A6">
        <w:tc>
          <w:tcPr>
            <w:tcW w:w="4967" w:type="dxa"/>
          </w:tcPr>
          <w:p w:rsidR="006117F7" w:rsidRPr="000510A6" w:rsidRDefault="006117F7" w:rsidP="000510A6">
            <w:pPr>
              <w:pStyle w:val="NoSpacing"/>
              <w:rPr>
                <w:sz w:val="18"/>
                <w:szCs w:val="18"/>
              </w:rPr>
            </w:pPr>
            <w:r w:rsidRPr="000510A6">
              <w:rPr>
                <w:sz w:val="18"/>
                <w:szCs w:val="18"/>
              </w:rPr>
              <w:t>.\Waters.Portal.exe</w:t>
            </w:r>
          </w:p>
        </w:tc>
        <w:tc>
          <w:tcPr>
            <w:tcW w:w="4049" w:type="dxa"/>
          </w:tcPr>
          <w:p w:rsidR="006117F7" w:rsidRPr="000510A6" w:rsidRDefault="006117F7" w:rsidP="000510A6">
            <w:pPr>
              <w:pStyle w:val="NoSpacing"/>
              <w:rPr>
                <w:sz w:val="18"/>
                <w:szCs w:val="18"/>
              </w:rPr>
            </w:pPr>
            <w:r w:rsidRPr="000510A6">
              <w:rPr>
                <w:sz w:val="18"/>
                <w:szCs w:val="18"/>
              </w:rPr>
              <w:t>The UNIFI UI executable. This may be running on any of the client machines.</w:t>
            </w:r>
          </w:p>
        </w:tc>
      </w:tr>
    </w:tbl>
    <w:p w:rsidR="000510A6" w:rsidRDefault="000510A6" w:rsidP="000510A6">
      <w:pPr>
        <w:pStyle w:val="Heading2"/>
        <w:numPr>
          <w:ilvl w:val="0"/>
          <w:numId w:val="0"/>
        </w:numPr>
      </w:pPr>
      <w:r>
        <w:lastRenderedPageBreak/>
        <w:t>UNIFI Processes as view via Task Manager</w:t>
      </w:r>
    </w:p>
    <w:p w:rsidR="000510A6" w:rsidRDefault="000510A6" w:rsidP="000510A6">
      <w:r w:rsidRPr="007F414F">
        <w:rPr>
          <w:noProof/>
          <w:lang w:val="en-GB" w:eastAsia="en-GB" w:bidi="ar-SA"/>
        </w:rPr>
        <w:drawing>
          <wp:inline distT="0" distB="0" distL="0" distR="0" wp14:anchorId="021D2B5D" wp14:editId="341544CF">
            <wp:extent cx="5731510" cy="2794468"/>
            <wp:effectExtent l="0" t="0" r="2540" b="6350"/>
            <wp:docPr id="9"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5731510" cy="2794468"/>
                    </a:xfrm>
                    <a:prstGeom prst="rect">
                      <a:avLst/>
                    </a:prstGeom>
                    <a:noFill/>
                    <a:ln w="9525">
                      <a:noFill/>
                      <a:miter lim="800000"/>
                      <a:headEnd/>
                      <a:tailEnd/>
                    </a:ln>
                  </pic:spPr>
                </pic:pic>
              </a:graphicData>
            </a:graphic>
          </wp:inline>
        </w:drawing>
      </w:r>
    </w:p>
    <w:p w:rsidR="00451316" w:rsidRDefault="000510A6" w:rsidP="000510A6">
      <w:pPr>
        <w:pStyle w:val="Heading2"/>
        <w:numPr>
          <w:ilvl w:val="0"/>
          <w:numId w:val="0"/>
        </w:numPr>
      </w:pPr>
      <w:r>
        <w:t>UNIFI Services</w:t>
      </w:r>
      <w:r>
        <w:t xml:space="preserve"> as view via Task Manager</w:t>
      </w:r>
    </w:p>
    <w:p w:rsidR="000510A6" w:rsidRDefault="000510A6" w:rsidP="000510A6">
      <w:r w:rsidRPr="005B16D8">
        <w:rPr>
          <w:noProof/>
          <w:lang w:val="en-GB" w:eastAsia="en-GB" w:bidi="ar-SA"/>
        </w:rPr>
        <w:drawing>
          <wp:inline distT="0" distB="0" distL="0" distR="0" wp14:anchorId="60EDB2EC" wp14:editId="19F5E566">
            <wp:extent cx="5731510" cy="2139889"/>
            <wp:effectExtent l="0" t="0" r="2540" b="0"/>
            <wp:docPr id="1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731510" cy="2139889"/>
                    </a:xfrm>
                    <a:prstGeom prst="rect">
                      <a:avLst/>
                    </a:prstGeom>
                    <a:noFill/>
                    <a:ln w="9525">
                      <a:noFill/>
                      <a:miter lim="800000"/>
                      <a:headEnd/>
                      <a:tailEnd/>
                    </a:ln>
                  </pic:spPr>
                </pic:pic>
              </a:graphicData>
            </a:graphic>
          </wp:inline>
        </w:drawing>
      </w:r>
    </w:p>
    <w:p w:rsidR="000510A6" w:rsidRPr="00CA6C25" w:rsidRDefault="000510A6" w:rsidP="000510A6">
      <w:pPr>
        <w:pStyle w:val="NoSpacing"/>
      </w:pPr>
      <w:r w:rsidRPr="00CA6C25">
        <w:t>On a workgroup server the additional Oracle services will be present</w:t>
      </w:r>
    </w:p>
    <w:p w:rsidR="000510A6" w:rsidRDefault="000510A6" w:rsidP="000510A6">
      <w:pPr>
        <w:pStyle w:val="NoSpacing"/>
      </w:pPr>
    </w:p>
    <w:p w:rsidR="000510A6" w:rsidRPr="000510A6" w:rsidRDefault="000510A6" w:rsidP="000510A6">
      <w:r>
        <w:rPr>
          <w:noProof/>
          <w:lang w:val="en-GB" w:eastAsia="en-GB" w:bidi="ar-SA"/>
        </w:rPr>
        <w:drawing>
          <wp:inline distT="0" distB="0" distL="0" distR="0" wp14:anchorId="18777DB4" wp14:editId="3B1E1471">
            <wp:extent cx="4724400" cy="16002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24400" cy="1600200"/>
                    </a:xfrm>
                    <a:prstGeom prst="rect">
                      <a:avLst/>
                    </a:prstGeom>
                    <a:noFill/>
                    <a:ln w="9525">
                      <a:noFill/>
                      <a:miter lim="800000"/>
                      <a:headEnd/>
                      <a:tailEnd/>
                    </a:ln>
                  </pic:spPr>
                </pic:pic>
              </a:graphicData>
            </a:graphic>
          </wp:inline>
        </w:drawing>
      </w:r>
    </w:p>
    <w:sectPr w:rsidR="000510A6" w:rsidRPr="000510A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34" w:rsidRDefault="00E03B34" w:rsidP="000510A6">
      <w:pPr>
        <w:spacing w:after="0" w:line="240" w:lineRule="auto"/>
      </w:pPr>
      <w:r>
        <w:separator/>
      </w:r>
    </w:p>
  </w:endnote>
  <w:endnote w:type="continuationSeparator" w:id="0">
    <w:p w:rsidR="00E03B34" w:rsidRDefault="00E03B34" w:rsidP="0005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34" w:rsidRDefault="00E03B34" w:rsidP="000510A6">
      <w:pPr>
        <w:spacing w:after="0" w:line="240" w:lineRule="auto"/>
      </w:pPr>
      <w:r>
        <w:separator/>
      </w:r>
    </w:p>
  </w:footnote>
  <w:footnote w:type="continuationSeparator" w:id="0">
    <w:p w:rsidR="00E03B34" w:rsidRDefault="00E03B34" w:rsidP="00051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A6" w:rsidRPr="000510A6" w:rsidRDefault="000510A6" w:rsidP="000510A6">
    <w:pPr>
      <w:pStyle w:val="Heading2"/>
      <w:numPr>
        <w:ilvl w:val="0"/>
        <w:numId w:val="0"/>
      </w:numPr>
      <w:jc w:val="center"/>
      <w:rPr>
        <w:sz w:val="28"/>
        <w:szCs w:val="28"/>
      </w:rPr>
    </w:pPr>
    <w:bookmarkStart w:id="1" w:name="_Toc484468927"/>
    <w:r w:rsidRPr="000510A6">
      <w:rPr>
        <w:sz w:val="28"/>
        <w:szCs w:val="28"/>
      </w:rPr>
      <w:t xml:space="preserve">UNIFI - </w:t>
    </w:r>
    <w:r w:rsidRPr="000510A6">
      <w:rPr>
        <w:sz w:val="28"/>
        <w:szCs w:val="28"/>
      </w:rPr>
      <w:t>Processes and Services</w:t>
    </w:r>
    <w:bookmarkEnd w:id="1"/>
  </w:p>
  <w:p w:rsidR="000510A6" w:rsidRDefault="000510A6" w:rsidP="00051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6D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F7"/>
    <w:rsid w:val="000510A6"/>
    <w:rsid w:val="0023037A"/>
    <w:rsid w:val="00451316"/>
    <w:rsid w:val="006117F7"/>
    <w:rsid w:val="00E0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AF83-BC3F-4EB4-8A05-5FBC3C18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F7"/>
    <w:pPr>
      <w:spacing w:after="200" w:line="276" w:lineRule="auto"/>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6117F7"/>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117F7"/>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117F7"/>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6117F7"/>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117F7"/>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117F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117F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117F7"/>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6117F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7F7"/>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uiPriority w:val="9"/>
    <w:rsid w:val="006117F7"/>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6117F7"/>
    <w:rPr>
      <w:rFonts w:ascii="Cambria" w:eastAsia="Times New Roman" w:hAnsi="Cambria" w:cs="Times New Roman"/>
      <w:b/>
      <w:bCs/>
      <w:color w:val="4F81BD"/>
      <w:lang w:val="en-US" w:bidi="en-US"/>
    </w:rPr>
  </w:style>
  <w:style w:type="character" w:customStyle="1" w:styleId="Heading4Char">
    <w:name w:val="Heading 4 Char"/>
    <w:basedOn w:val="DefaultParagraphFont"/>
    <w:link w:val="Heading4"/>
    <w:uiPriority w:val="9"/>
    <w:rsid w:val="006117F7"/>
    <w:rPr>
      <w:rFonts w:ascii="Cambria" w:eastAsia="Times New Roman" w:hAnsi="Cambria" w:cs="Times New Roman"/>
      <w:b/>
      <w:bCs/>
      <w:i/>
      <w:iCs/>
      <w:color w:val="4F81BD"/>
      <w:lang w:val="en-US" w:bidi="en-US"/>
    </w:rPr>
  </w:style>
  <w:style w:type="character" w:customStyle="1" w:styleId="Heading5Char">
    <w:name w:val="Heading 5 Char"/>
    <w:basedOn w:val="DefaultParagraphFont"/>
    <w:link w:val="Heading5"/>
    <w:uiPriority w:val="9"/>
    <w:semiHidden/>
    <w:rsid w:val="006117F7"/>
    <w:rPr>
      <w:rFonts w:ascii="Cambria" w:eastAsia="Times New Roman" w:hAnsi="Cambria" w:cs="Times New Roman"/>
      <w:color w:val="243F60"/>
      <w:lang w:val="en-US" w:bidi="en-US"/>
    </w:rPr>
  </w:style>
  <w:style w:type="character" w:customStyle="1" w:styleId="Heading6Char">
    <w:name w:val="Heading 6 Char"/>
    <w:basedOn w:val="DefaultParagraphFont"/>
    <w:link w:val="Heading6"/>
    <w:uiPriority w:val="9"/>
    <w:semiHidden/>
    <w:rsid w:val="006117F7"/>
    <w:rPr>
      <w:rFonts w:ascii="Cambria" w:eastAsia="Times New Roman" w:hAnsi="Cambria" w:cs="Times New Roman"/>
      <w:i/>
      <w:iCs/>
      <w:color w:val="243F60"/>
      <w:lang w:val="en-US" w:bidi="en-US"/>
    </w:rPr>
  </w:style>
  <w:style w:type="character" w:customStyle="1" w:styleId="Heading7Char">
    <w:name w:val="Heading 7 Char"/>
    <w:basedOn w:val="DefaultParagraphFont"/>
    <w:link w:val="Heading7"/>
    <w:uiPriority w:val="9"/>
    <w:semiHidden/>
    <w:rsid w:val="006117F7"/>
    <w:rPr>
      <w:rFonts w:ascii="Cambria" w:eastAsia="Times New Roman" w:hAnsi="Cambria" w:cs="Times New Roman"/>
      <w:i/>
      <w:iCs/>
      <w:color w:val="404040"/>
      <w:lang w:val="en-US" w:bidi="en-US"/>
    </w:rPr>
  </w:style>
  <w:style w:type="character" w:customStyle="1" w:styleId="Heading8Char">
    <w:name w:val="Heading 8 Char"/>
    <w:basedOn w:val="DefaultParagraphFont"/>
    <w:link w:val="Heading8"/>
    <w:uiPriority w:val="9"/>
    <w:semiHidden/>
    <w:rsid w:val="006117F7"/>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semiHidden/>
    <w:rsid w:val="006117F7"/>
    <w:rPr>
      <w:rFonts w:ascii="Cambria" w:eastAsia="Times New Roman" w:hAnsi="Cambria" w:cs="Times New Roman"/>
      <w:i/>
      <w:iCs/>
      <w:color w:val="404040"/>
      <w:sz w:val="20"/>
      <w:szCs w:val="20"/>
      <w:lang w:val="en-US" w:bidi="en-US"/>
    </w:rPr>
  </w:style>
  <w:style w:type="paragraph" w:styleId="NoSpacing">
    <w:name w:val="No Spacing"/>
    <w:uiPriority w:val="1"/>
    <w:qFormat/>
    <w:rsid w:val="000510A6"/>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unhideWhenUsed/>
    <w:rsid w:val="0005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0A6"/>
    <w:rPr>
      <w:rFonts w:ascii="Calibri" w:eastAsia="Times New Roman" w:hAnsi="Calibri" w:cs="Times New Roman"/>
      <w:lang w:val="en-US" w:bidi="en-US"/>
    </w:rPr>
  </w:style>
  <w:style w:type="paragraph" w:styleId="Footer">
    <w:name w:val="footer"/>
    <w:basedOn w:val="Normal"/>
    <w:link w:val="FooterChar"/>
    <w:uiPriority w:val="99"/>
    <w:unhideWhenUsed/>
    <w:rsid w:val="0005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0A6"/>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Waters Corp</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Darnley</dc:creator>
  <cp:keywords/>
  <dc:description/>
  <cp:lastModifiedBy>Paul Darnley</cp:lastModifiedBy>
  <cp:revision>4</cp:revision>
  <dcterms:created xsi:type="dcterms:W3CDTF">2017-07-21T10:54:00Z</dcterms:created>
  <dcterms:modified xsi:type="dcterms:W3CDTF">2017-07-21T11:11:00Z</dcterms:modified>
</cp:coreProperties>
</file>